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FF" w:rsidRPr="00623559" w:rsidRDefault="00F720FF" w:rsidP="00F720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686973"/>
      <w:r w:rsidRPr="00623559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F720FF" w:rsidRPr="00623559" w:rsidRDefault="00F720FF" w:rsidP="00F7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F720FF" w:rsidRPr="00623559" w:rsidRDefault="00F720FF" w:rsidP="00F7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«Средняя общеобразовательная школа № 15»</w:t>
      </w:r>
    </w:p>
    <w:p w:rsidR="00F720FF" w:rsidRPr="00623559" w:rsidRDefault="00F720FF" w:rsidP="00F7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городской округ Первоуральск</w:t>
      </w:r>
    </w:p>
    <w:p w:rsidR="00F720FF" w:rsidRPr="00623559" w:rsidRDefault="00F720FF" w:rsidP="00F720F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F720FF" w:rsidRDefault="00F720FF" w:rsidP="00F720FF">
      <w:pPr>
        <w:spacing w:after="0" w:line="240" w:lineRule="auto"/>
        <w:jc w:val="right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Является приложением к ООП СОО, </w:t>
      </w:r>
    </w:p>
    <w:p w:rsidR="00F720FF" w:rsidRDefault="00F720FF" w:rsidP="00F720FF">
      <w:pPr>
        <w:spacing w:after="0" w:line="240" w:lineRule="auto"/>
        <w:jc w:val="right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утвержденной приказом директора школы от 31.08.2023г. № 186</w:t>
      </w:r>
    </w:p>
    <w:p w:rsidR="00F720FF" w:rsidRPr="00623559" w:rsidRDefault="00F720FF" w:rsidP="00F720F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F720FF" w:rsidRPr="00623559" w:rsidRDefault="00F720FF" w:rsidP="00F720F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F720FF" w:rsidRPr="00623559" w:rsidRDefault="00F720FF" w:rsidP="00F720F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  <w:r w:rsidRPr="00623559"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  <w:t>РАБОЧАЯ ПРОГРАММА</w:t>
      </w:r>
    </w:p>
    <w:p w:rsidR="00F720FF" w:rsidRDefault="00F720FF" w:rsidP="00F720FF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История. </w:t>
      </w:r>
    </w:p>
    <w:p w:rsidR="00F720FF" w:rsidRPr="00623559" w:rsidRDefault="00F720FF" w:rsidP="00F720FF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Углубленный уровень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F720FF" w:rsidRPr="00623559" w:rsidRDefault="00F720FF" w:rsidP="00F720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3559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0F11A8" w:rsidRPr="00F720FF" w:rsidRDefault="000F11A8">
      <w:pPr>
        <w:rPr>
          <w:lang w:val="ru-RU"/>
        </w:rPr>
        <w:sectPr w:rsidR="000F11A8" w:rsidRPr="00F720FF">
          <w:pgSz w:w="11906" w:h="16383"/>
          <w:pgMar w:top="1134" w:right="850" w:bottom="1134" w:left="1701" w:header="720" w:footer="720" w:gutter="0"/>
          <w:cols w:space="720"/>
        </w:sect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" w:name="block-28686971"/>
      <w:bookmarkEnd w:id="0"/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деральной рабочей программы воспитания.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ование личностной позиции по отношению к прошлому и настоящему Отечества.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овательными стандартами.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курсах – приобретение первичного опыта исследовательской деятельности;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 углубленных курсах – элементы ориентации на пр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" w:name="82a3c4d4-6016-4b94-88b2-2315f4be4bed"/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изучен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тории России с древнейших времен до 1914 г. представлено в таблице 1.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right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center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center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0F11A8" w:rsidRPr="00F720FF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курсу «История России</w:t>
            </w:r>
            <w:r w:rsidR="00F720FF"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древнейших времен до 1914 г.»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(ч)</w:t>
            </w:r>
          </w:p>
        </w:tc>
      </w:tr>
      <w:tr w:rsidR="000F11A8" w:rsidRPr="00F720FF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F11A8" w:rsidRPr="00F720FF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33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F11A8" w:rsidRPr="00F720FF" w:rsidRDefault="000F11A8" w:rsidP="00F720FF">
      <w:pPr>
        <w:spacing w:line="240" w:lineRule="auto"/>
        <w:contextualSpacing/>
        <w:rPr>
          <w:sz w:val="24"/>
          <w:szCs w:val="24"/>
        </w:rPr>
        <w:sectPr w:rsidR="000F11A8" w:rsidRPr="00F720FF">
          <w:pgSz w:w="11906" w:h="16383"/>
          <w:pgMar w:top="1134" w:right="850" w:bottom="1134" w:left="1701" w:header="720" w:footer="720" w:gutter="0"/>
          <w:cols w:space="720"/>
        </w:sect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bookmarkStart w:id="3" w:name="block-28686974"/>
      <w:bookmarkEnd w:id="1"/>
      <w:r w:rsidRPr="00F720F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</w:rPr>
        <w:t xml:space="preserve">Всеобщая история. 1914–1945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Ключевые процессы и события Новейшей истории.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Мир накануне и в годы Первой мировой войны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(рекомендуется изучать данную тему объединено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темой «Россия в Первой мировой войне (1914–1918)» курса истории России).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, анархизм. Рабочее и социалистическое движение. Профсоюзы.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 конвенции. Региональные конфликты и войны в конце 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Мир в 1918–1939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От войны к миру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Планы послевоенного устройства мира. 14 пунктов В. Вильсона. Парижская мирная конференция. 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ерсальская система. Лига Наций. Вашингтонская конференция.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1920–1930‑е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Рост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ранах Европы.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последствия кризиса. «Новый курс» Ф.Д. Рузвельта (цель, мероприятия, итоги). Кейнсианст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во. Государственное регулирование экономики.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F720FF">
        <w:rPr>
          <w:rFonts w:ascii="Times New Roman" w:hAnsi="Times New Roman"/>
          <w:color w:val="000000"/>
          <w:sz w:val="24"/>
          <w:szCs w:val="24"/>
        </w:rPr>
        <w:t>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конгресс Коминтерна. Приход к власти и политика правител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Ст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раны Азии в 1918–1930-х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Латинской Америки в п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ервой трети ХХ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1920–1930-х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Версальская система и реалии 1920-х гг. Планы Дауэса и Юнга. Советское государство 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международных отношениях в 1920‑х гг. Пакт Бриана–Келлога. «Эра пацифизма».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1914–1930-х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Научные открытия первых десятилетий ХХ в. (физика, химия, биология, меди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рса истории России).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союзников на Балканы.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войне. Сталингра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Разгром Германии, Японии и их союзн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Завершение мировой войны на Дал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. Периодизация и общая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характеристика истории России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Власть, экономика и общество в условиях войны. Милитаризация экономики. Форм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Благотворительность. Введение государством карточной системы снабжения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 городе и разверстки в деревне. Война и реформы: несбывшиеся ожидания.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шевистской пропаганды. Возрастание роли армии в жизни общества.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Великая российская революция 1917–1922 гг. 1917 год: от Февраля к Октябрю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ров. В.И. Ленин как политический деятель.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Созыв и разгон Учр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едительного собрания.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Первая Конс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титуция РСФСР 1918 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вкомов.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921–1922 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Законодательное закрепление равноправия полов.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в 1914–1922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Советский Союз в 1920–1930-е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Предпосылки и значение образ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иции внутри ВКП(б) к концу 1920‑х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Деревенский социум: кулаки, середняки и бедняки. Сельскохозяйственные коммуны, артели и ТОЗы. Отходничество. Сд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ача земли в аренду.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Советский Союз в 1929–1941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Крупнейшие стройки первых пятилеток в центре и национальных республиках. Днепрострой. Горьковский автозавод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Утверждение культа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». Усиление идеологического контроля над обществом. Введение паспортной системы.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Советская социальная и национальная политика 1930-х гг. Пропа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ганда и реальные достижения. Конституция СССР 1936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советского общества в 1920–1930-е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«Коммунисти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христианских конфессий.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челюскинцев.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и кинематограф 1930-х гг. Культура русского зарубежья.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Возвращение к традиционным ценностям в середине 1930‑х гг. Досуг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СССР в 1920–1930-е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золяции. Вступление СССР в Лигу Наций.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Востоке в конце 1930-х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твии, Литвы и Эстонии, Бессарабии, Северной Буковины, Западной Украины и Западной Белоруссии. Катынская трагедия.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1920–1930-х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«Барбаросса». Соотно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Блокада Ленинграда. Героизм и трагедия гражданского населения. Э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вакуация ленинградцев. Дорога жизни.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 в Германию. Разграбление и уничтожение культурных ценностей.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Коренной перелом в ходе войны (осень 1942 – 1943 г.)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Сталинг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Битва на Курской дуге. Соотношение сил. Провал немецкого наступления. Танковые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Сотрудничество с врагом (коллаборационизм): формы, причины, масштабы. Создание гитле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1943–1946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взносы в фонд обороны. Помощь эвакуированным.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Победа СССР в Великой Отечественной войне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. Окончание Второй мировой войны (1944 – сентябрь 1945 г.).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Завершен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Боевые действия в Восточной и Центральной Европе и освободительная миссия Красной Армии. Б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Война и 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государства и Церкви. Поместный собор 1945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бергский и Токийский судебные процессы.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развитие национально-освободительного движения в странах Азии и Африки.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Обобщение.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 мира к холодной войне. Речь У. Черчил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Соединенные Штаты Америки. Послевоенный экономический подъем. Развитие постиндустриаль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«экономическое чудо». Установление </w:t>
      </w:r>
      <w:r w:rsidRPr="00F720FF">
        <w:rPr>
          <w:rFonts w:ascii="Times New Roman" w:hAnsi="Times New Roman"/>
          <w:color w:val="000000"/>
          <w:sz w:val="24"/>
          <w:szCs w:val="24"/>
        </w:rPr>
        <w:t>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эволюция).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Югославии. Развитие восточноевропейских государств в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F720F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Страны Восточной,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хи модернизации. Новые индустриальные страны (Сингапур, Южная Корея).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попытки урегулирования на Ближнем Востоке. Политическое развитие арабских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 в конце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F720F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Положение стран Лат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F720F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развития международных отношений во второй половине 1940-х – 2020-х гг. Ме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Разрядка международной 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 Восточной Европы. Распад СССР и восточного блока.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Международный терроризм.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F720F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Течения и стили в художе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ственной культуре второй половины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Современный мир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Глобальные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Глобализация, интеграция и проблемы национальных интересов.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1945–20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22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 послевоенного детства. Рост преступности.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на послевоенном потребительском рынке.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Сохранение трудового законодательства военного времени на период восстановлен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Смена политического курса. Смерть Стал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Популярные формы досуга. Развитие внутреннего и международного туризма. Начало Московских кинофестивалей. Роль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 перемены в повседневной жизни людей.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ХХ</w:t>
      </w:r>
      <w:r w:rsidRPr="00F720FF">
        <w:rPr>
          <w:rFonts w:ascii="Times New Roman" w:hAnsi="Times New Roman"/>
          <w:color w:val="000000"/>
          <w:sz w:val="24"/>
          <w:szCs w:val="24"/>
        </w:rPr>
        <w:t>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альной системы и борьба за влияние в странах третьего мира.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Наш кра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й в 1953–1964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реформы 1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ли ВПК. Трудности развития агропромышленного комплекса.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прогресса в СССР. Отставание от Запада в производи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F720FF">
        <w:rPr>
          <w:rFonts w:ascii="Times New Roman" w:hAnsi="Times New Roman"/>
          <w:color w:val="000000"/>
          <w:sz w:val="24"/>
          <w:szCs w:val="24"/>
        </w:rPr>
        <w:t>XXII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летние Олимпийские игры 19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движения. Борьба с инакомыслием. Судебные процессы. Цензура и самиздат.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Политика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перестройки. Распад СССР (1985–1991)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. Съезды народных депутатов – высший орган государственной власти. Первый съезд народных депутатов СССР и его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значение. Образование оппозиционной Межрегиональной депутатской группы. Демократы первой волны, их лидеры и программы.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Подъем национальных движени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нальных элит.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F720FF">
        <w:rPr>
          <w:rFonts w:ascii="Times New Roman" w:hAnsi="Times New Roman"/>
          <w:color w:val="000000"/>
          <w:sz w:val="24"/>
          <w:szCs w:val="24"/>
        </w:rPr>
        <w:t>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ранении СССР и введении поста Президента РСФСР.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Введение карто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Принятие принципиального решения об отказ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ниях.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международной арене.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Всена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межнациональных и межконфессиональных отношени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Тенденции де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Дефолт 1998 г. и его последствия.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енных слоев.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Российская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ХХ</w:t>
      </w:r>
      <w:r w:rsidRPr="00F720F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Политические и экономически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ке. Построение вертикали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Президент Д.А. Медведев, премь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уционной реформы (2020).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F720FF">
        <w:rPr>
          <w:rFonts w:ascii="Times New Roman" w:hAnsi="Times New Roman"/>
          <w:color w:val="000000"/>
          <w:sz w:val="24"/>
          <w:szCs w:val="24"/>
        </w:rPr>
        <w:t>XXII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Олимпийские и </w:t>
      </w:r>
      <w:r w:rsidRPr="00F720FF">
        <w:rPr>
          <w:rFonts w:ascii="Times New Roman" w:hAnsi="Times New Roman"/>
          <w:color w:val="000000"/>
          <w:sz w:val="24"/>
          <w:szCs w:val="24"/>
        </w:rPr>
        <w:t>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Паралимпийские зимние игры в Сочи (2014), успехи российских спортсмено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Утверждение новой Концепции внешней политики Российской Федерации (2000) и ее ре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Отношения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Деятельность «Большой двадцатки». Дальневосточное и другие направления политики России. Сланцевая революция в США и борьб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 за передел мирового нефтегазового рынка.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Россия в борьбе с коронавирусной пандемией, оказание помощ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Повышение общественной роли СМИ и Интернета. Коммерциализация культур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Религиозные конфессии и повышение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Процессы глобализации и массовая культура.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122.8. Обобщающее повторение по курсу «История России с древнейших времен до 1914 г.».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Обобщающее повторение в 11 классе предполагает более высокий уровень теоретических рассуждений и обоб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center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Рекомендуе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0F11A8" w:rsidRPr="00F720F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F11A8" w:rsidRPr="00F720F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F11A8" w:rsidRPr="00F720F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F11A8" w:rsidRPr="00F720F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конце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F11A8" w:rsidRPr="00F720FF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228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F720FF">
        <w:rPr>
          <w:rFonts w:ascii="Times New Roman" w:hAnsi="Times New Roman"/>
          <w:color w:val="000000"/>
          <w:sz w:val="24"/>
          <w:szCs w:val="24"/>
        </w:rPr>
        <w:t>Систематизация.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соседние племена, государства, народы: характер отношений, политика первых русских князей.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F720FF">
        <w:rPr>
          <w:rFonts w:ascii="Times New Roman" w:hAnsi="Times New Roman"/>
          <w:color w:val="000000"/>
          <w:sz w:val="24"/>
          <w:szCs w:val="24"/>
        </w:rPr>
        <w:t>XIII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F720FF">
        <w:rPr>
          <w:rFonts w:ascii="Times New Roman" w:hAnsi="Times New Roman"/>
          <w:color w:val="000000"/>
          <w:sz w:val="24"/>
          <w:szCs w:val="24"/>
        </w:rPr>
        <w:t>XIV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русских земель вокруг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Москвы (</w:t>
      </w:r>
      <w:r w:rsidRPr="00F720FF">
        <w:rPr>
          <w:rFonts w:ascii="Times New Roman" w:hAnsi="Times New Roman"/>
          <w:color w:val="000000"/>
          <w:sz w:val="24"/>
          <w:szCs w:val="24"/>
        </w:rPr>
        <w:t>XV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F720FF">
        <w:rPr>
          <w:rFonts w:ascii="Times New Roman" w:hAnsi="Times New Roman"/>
          <w:color w:val="000000"/>
          <w:sz w:val="24"/>
          <w:szCs w:val="24"/>
        </w:rPr>
        <w:t>XV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F720FF">
        <w:rPr>
          <w:rFonts w:ascii="Times New Roman" w:hAnsi="Times New Roman"/>
          <w:color w:val="000000"/>
          <w:sz w:val="24"/>
          <w:szCs w:val="24"/>
        </w:rPr>
        <w:t>XV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F720FF">
        <w:rPr>
          <w:rFonts w:ascii="Times New Roman" w:hAnsi="Times New Roman"/>
          <w:color w:val="000000"/>
          <w:sz w:val="24"/>
          <w:szCs w:val="24"/>
        </w:rPr>
        <w:t>XVI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Процесс закрепощения крестья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 (</w:t>
      </w:r>
      <w:r w:rsidRPr="00F720FF">
        <w:rPr>
          <w:rFonts w:ascii="Times New Roman" w:hAnsi="Times New Roman"/>
          <w:color w:val="000000"/>
          <w:sz w:val="24"/>
          <w:szCs w:val="24"/>
        </w:rPr>
        <w:t>XV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 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XVIII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ны (</w:t>
      </w:r>
      <w:r w:rsidRPr="00F720FF">
        <w:rPr>
          <w:rFonts w:ascii="Times New Roman" w:hAnsi="Times New Roman"/>
          <w:color w:val="000000"/>
          <w:sz w:val="24"/>
          <w:szCs w:val="24"/>
        </w:rPr>
        <w:t>XVIII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Индустриальное развитие и 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одернизационные процессы и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XIX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традиции, новые веяния, обращение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основам национальных культур. Архитектурные стили в России в </w:t>
      </w:r>
      <w:r w:rsidRPr="00F720FF">
        <w:rPr>
          <w:rFonts w:ascii="Times New Roman" w:hAnsi="Times New Roman"/>
          <w:color w:val="000000"/>
          <w:sz w:val="24"/>
          <w:szCs w:val="24"/>
        </w:rPr>
        <w:t>XVII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F11A8" w:rsidRPr="00F720FF" w:rsidRDefault="000F11A8" w:rsidP="00F720FF">
      <w:pPr>
        <w:spacing w:line="240" w:lineRule="auto"/>
        <w:contextualSpacing/>
        <w:rPr>
          <w:sz w:val="24"/>
          <w:szCs w:val="24"/>
          <w:lang w:val="ru-RU"/>
        </w:rPr>
        <w:sectPr w:rsidR="000F11A8" w:rsidRPr="00F720FF">
          <w:pgSz w:w="11906" w:h="16383"/>
          <w:pgMar w:top="1134" w:right="850" w:bottom="1134" w:left="1701" w:header="720" w:footer="720" w:gutter="0"/>
          <w:cols w:space="720"/>
        </w:sect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4" w:name="block-28686972"/>
      <w:bookmarkEnd w:id="3"/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сложившихся в российской истории традиций гражданского служения Отечеству;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России, своих конституционных прав и обязанностей, уважение закона и правопорядка;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, дискриминации по социальным, религиозным, расовым, национальным, этническим признакам;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личностно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ситуации нравственного выбора и при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способно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й и народного творчества;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окружающему миру, современной культуре, включая эстетику быта, научного и технического твор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чества, спорта, труда, общественных отношений;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идеалах гармоничного физического и духовного развит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ия человека в исторических обществах и в современную эпоху;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 и общества;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природной средой, его позитивных и негативных проявлений;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активн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ое неприятие действий, приносящих вред окружающей природной и социальной среде;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осмысление значения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деятельности в сфере истории;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иверсальные учебные действия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систематизировать и обобщать исторические факты (в форме таблиц, схем, диаграмм и других);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определяя 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снования для сравнения, выявляя общие черты и различия;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создании учебных и социальных проектов;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соотносить полученный результат с имеющимся историче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ским знанием, определять новизну и обоснованность полученного результата;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 сферу применения и значение проведенного 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чебного исследования в современном общественном контексте;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учебной и внеу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 использовать информационные особенности 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комплексы источников, выяв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ляя совпадения и различия их свидетельств;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выражать и аргументировать свою точку зрения в устном высказывании, письменном тексте;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общ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ставленных целей;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оценивать пол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ученные результаты и свой вклад в общую работу.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11A8" w:rsidRPr="00F720FF" w:rsidRDefault="000F11A8" w:rsidP="00F720F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звитие России в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их участников, образа жизни люд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выявлять существенные черты исторических событий, явлений, пр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устанавливать причинно-следственные, пространственные, временные связи исторических событий, явле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ний, процессов, характеризовать их итоги, соотносить события истории родного края и истории России в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анализироват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м, выявлять общее и различия, привлекать контекстную информацию при работе с историческими источниками.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текстовые, визуальные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источники исторической информации, в том числе исторические карты/схемы, по истории России и зарубежных стран ХХ – начала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вз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следию народов России.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начале </w:t>
      </w:r>
      <w:r w:rsidRPr="00F720FF">
        <w:rPr>
          <w:rFonts w:ascii="Times New Roman" w:hAnsi="Times New Roman"/>
          <w:color w:val="000000"/>
          <w:sz w:val="24"/>
          <w:szCs w:val="24"/>
        </w:rPr>
        <w:t>XXI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тура. Предпосылки революции.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Нэп.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Великая Отечественная война 1941–1945 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да над Японией. Решающий вклад СССР в Великую Победу. Защита памяти о Великой Победе.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внешняя поли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тика. СССР и мировая социалистическая система. Причины распада Советского Союза.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F720FF">
        <w:rPr>
          <w:rFonts w:ascii="Times New Roman" w:hAnsi="Times New Roman"/>
          <w:color w:val="000000"/>
          <w:sz w:val="24"/>
          <w:szCs w:val="24"/>
        </w:rPr>
        <w:t>I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Мир накануне Первой мировой войны. Первая мир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овая война: причины, участники, основные события, результаты. Власть и общество.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Германский нацизм. «Народный фронт». Политика «умиротворения агрессора». Культурное развитие.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Послевоенные перемены в мире.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еских процессах с древнейших времен до настоящего времени.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очников.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анализировать, характеризовать и сравнивать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сторические события, явления, процессы с древнейших времен до настоящего времени.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на практике отстаивать историческую правду в ходе дискуссий и других форм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льсификации отечественной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720F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1914–19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связи, связанные с участием России в мир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овых политических и социально-экономических процессах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процессах.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1914–1945 гг., составлять развернутое оп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исание памятников культуры России;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ных и деятелей культуры в мировую науку и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ов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указывать хронологические рамки периодов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ве анализа исторической ситуации/информации из истории России и зарубежных стран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событий, явлений, процессов истории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обытия, явления, процессы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бобщать историческую информацию по истории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ей истории 1914–1945 гг.;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ве изучения исторического материала 1914–1945 гг. устанавливать исторические аналогии.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ожественную ценность источника);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ии с соблюдением правил информационной безопасности;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собственный алгоритм решения историко-познават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участвова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1914–1945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гг. критически оценивать полученную извне социальную информацию;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ое отношение к наиболее значительным событиям и личностям из истории России и всеобщей истории 1914–1945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14–1945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720F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F720F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ющие предметные результаты по отдельным темам программы по истории: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знат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политических и социально-экономических процессах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цессах.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этапы развития науки и культуры в России 1945–2022 гг., составлять развернутое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описание памятников культуры России;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ченых и деятелей культуры в мировую науку и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Структура предметного результата включает следующий перечень знан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ссов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указывать хронологические рамки периодов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истории России и всеобщей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нове анализа исторической ситуации/информации из истории России и зарубежных стран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 событий, явлений, процессов истории России и всеобщей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события, явления, процессы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ку;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других странах 1945–2022 гг., показывая изменения, происшедшие в течение рассматриваемого периода;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гии.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аутентичные ист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критерии подбора истори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ческих источников для решения учебной задачи;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специфику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современных источников социальной и личной информации;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исследования по истории России и всеобщей истории 1945–2022 гг., истории родного края;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ификации отечественной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щей истории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11 классе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внейших времен до 1914 г.») программы по истории: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знат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мировых политических и социально-экономических процессах.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этапы развития науки и культуры в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х источников.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примеры использования исторической аргументации в социально-политическом контексте;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указывать хронологические рамки периодов истории России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основания период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изации истории России с древнейших времен до 1914 г., используемые учеными-историками;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тории России и зарубежных стран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зарубежных стран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истории России и всеобщей истории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еские события, явления, процессы с древнейших времен до 1914 г.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признаку;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рические аналогии.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значимость конкретных источников при изучении событий и процессов истории, приобретение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опыта осуществления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подбирать историчес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формировать собственный алгоритм решения исто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 xml:space="preserve">и; 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F720FF">
        <w:rPr>
          <w:rFonts w:ascii="Times New Roman" w:hAnsi="Times New Roman"/>
          <w:b/>
          <w:color w:val="000000"/>
          <w:sz w:val="24"/>
          <w:szCs w:val="24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России с древнейших времен до 1914 г. критически оценив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ать полученную извне социальную информацию;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е значительным событиям и личностям из истории России с древнейших времен до 1914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4 г.;</w:t>
      </w:r>
    </w:p>
    <w:p w:rsidR="000F11A8" w:rsidRPr="00F720FF" w:rsidRDefault="00223A15" w:rsidP="00F720F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F720F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0F11A8" w:rsidRPr="00F720FF" w:rsidRDefault="000F11A8">
      <w:pPr>
        <w:rPr>
          <w:lang w:val="ru-RU"/>
        </w:rPr>
        <w:sectPr w:rsidR="000F11A8" w:rsidRPr="00F720FF">
          <w:pgSz w:w="11906" w:h="16383"/>
          <w:pgMar w:top="1134" w:right="850" w:bottom="1134" w:left="1701" w:header="720" w:footer="720" w:gutter="0"/>
          <w:cols w:space="720"/>
        </w:sectPr>
      </w:pPr>
    </w:p>
    <w:p w:rsidR="000F11A8" w:rsidRDefault="00223A15">
      <w:pPr>
        <w:spacing w:after="0"/>
        <w:ind w:left="120"/>
      </w:pPr>
      <w:bookmarkStart w:id="5" w:name="block-28686975"/>
      <w:bookmarkEnd w:id="4"/>
      <w:r w:rsidRPr="00F720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11A8" w:rsidRDefault="00223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0F11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мировой войны и Великой Российской революции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after="0" w:line="240" w:lineRule="auto"/>
              <w:ind w:left="135"/>
              <w:contextualSpacing/>
            </w:pPr>
          </w:p>
        </w:tc>
      </w:tr>
      <w:tr w:rsidR="000F1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1A8" w:rsidRDefault="00223A15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1A8" w:rsidRDefault="000F11A8" w:rsidP="00F720FF">
            <w:pPr>
              <w:spacing w:line="240" w:lineRule="auto"/>
              <w:contextualSpacing/>
            </w:pPr>
          </w:p>
        </w:tc>
      </w:tr>
    </w:tbl>
    <w:p w:rsidR="000F11A8" w:rsidRDefault="000F11A8">
      <w:pPr>
        <w:sectPr w:rsidR="000F1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A8" w:rsidRDefault="00223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0F11A8" w:rsidRPr="00F720FF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Всеобщая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история. 1945–2022 гг.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Всеобщая история. 1945–2022 гг.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Северной Америки и Европы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Азии, Африки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проблемы и пути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и культуры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России. 1945–2022 гг.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СССР в 1945 - 1991 гг.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СССР в середине 1950-х -первой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1992-2022 гг.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Руси к Российскому государству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Русь в конце Х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соседи в середине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(Российского) государства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Руси с древности до конца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царства к империи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Российская империя в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России в первой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политика Александра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России во второй половине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Российская империя на пороге нового века. Россия в системе международных отношений в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 России в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Серебряный век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F11A8" w:rsidRP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223A15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0F11A8" w:rsidRPr="00F720FF" w:rsidRDefault="000F11A8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F11A8" w:rsidRDefault="000F11A8">
      <w:pPr>
        <w:sectPr w:rsidR="000F1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A8" w:rsidRDefault="000F11A8">
      <w:pPr>
        <w:sectPr w:rsidR="000F1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A8" w:rsidRDefault="00223A15">
      <w:pPr>
        <w:spacing w:after="0"/>
        <w:ind w:left="120"/>
      </w:pPr>
      <w:bookmarkStart w:id="6" w:name="block-286869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11A8" w:rsidRDefault="00223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02"/>
        <w:gridCol w:w="1841"/>
        <w:gridCol w:w="1910"/>
        <w:gridCol w:w="2221"/>
      </w:tblGrid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Pr="00F720FF" w:rsidRDefault="00F720FF" w:rsidP="00F720F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Pr="00F720FF" w:rsidRDefault="00F720FF" w:rsidP="00F720F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Pr="00F720FF" w:rsidRDefault="00F720FF" w:rsidP="00F720F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в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в начале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Планы послевоенного устройства мира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1920–1930-е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Италия в 1920–1930-е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США в 1920-е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США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Германии в 1920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Германия в 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Авторитарные режимы в Европе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Борьба против угрозы фашизма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Османская империя в 1918–1930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Китай в 1918–1930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Япония в 1918–1930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Индия в 1918–1930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первой трети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в 1914–1930-х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в 1914–1930-х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в оккупированных странах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Коренной перелом в войне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Свержение Временного правительства и взятие власти большевиками 25 октября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(7 ноября) 1917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Первая Конституция РСФСР 1918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советской власти в центре и на местах осенью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1917 – весной 1918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Повстанчество в Гражданской войне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Политика «военного коммунизма»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Красный и белый террор, их масштабы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массовой детской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беспризорности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1914–1922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1914–1922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Власть и общество в начале 1920-х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мероприятия 1920-х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большевиков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значение нэпа (1921–1928 гг.)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в СССР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в СССР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Массовые политические репрессии 1937–1938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периода нэпа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«нового человека»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революция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Наука в 1930-е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Повседневность 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СССР в 1930-е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край в 1920–1930-х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край в 1920–1930-х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Битва за Москву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Блокада Ленинграда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Нацистский оккупационный режим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Нацистский оккупационный режим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Начало массового сопротивления врагу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Коренной перелом в ходе войны (осень 1942–1943 г. ).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Сталинградская битва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Битва на Курской дуге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Битва за Днепр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«Все для фронта, все для победы!».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Трудовой подвиг народа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Фронтовая повседневность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Повседневность в советском тылу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и Церковь в годы войны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Тегеранская конференция 1943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освобождения территории СССР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Война и общество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Открытие второго фронта в Европе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и Потсдамская конференции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Советско-японская война 1945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и мировые державы в 1945 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1941–1945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1941–1945 гг.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"СССР в 1930–1945 гг.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F720FF" w:rsidRPr="00F720FF" w:rsidTr="00F72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F720FF" w:rsidRPr="00F720FF" w:rsidRDefault="00F720FF" w:rsidP="00F720F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0F11A8" w:rsidRDefault="000F11A8">
      <w:pPr>
        <w:sectPr w:rsidR="000F1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A8" w:rsidRDefault="00223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3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5280"/>
        <w:gridCol w:w="1198"/>
        <w:gridCol w:w="1841"/>
        <w:gridCol w:w="1910"/>
        <w:gridCol w:w="2221"/>
      </w:tblGrid>
      <w:tr w:rsidR="00F720FF" w:rsidTr="00F720FF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Default="00F720FF" w:rsidP="00F720FF">
            <w:pPr>
              <w:spacing w:line="240" w:lineRule="auto"/>
              <w:contextualSpacing/>
              <w:jc w:val="center"/>
            </w:pPr>
          </w:p>
        </w:tc>
        <w:tc>
          <w:tcPr>
            <w:tcW w:w="5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Default="00F720FF" w:rsidP="00F720FF">
            <w:pPr>
              <w:spacing w:line="240" w:lineRule="auto"/>
              <w:contextualSpacing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0FF" w:rsidRDefault="00F720FF" w:rsidP="00F720FF">
            <w:pPr>
              <w:spacing w:line="240" w:lineRule="auto"/>
              <w:contextualSpacing/>
              <w:jc w:val="center"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Дворцовые перевороты: причины, сущность, 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</w:pPr>
          </w:p>
        </w:tc>
      </w:tr>
      <w:tr w:rsidR="00F720FF" w:rsidTr="00F720FF">
        <w:trPr>
          <w:trHeight w:val="144"/>
          <w:tblCellSpacing w:w="20" w:type="nil"/>
        </w:trPr>
        <w:tc>
          <w:tcPr>
            <w:tcW w:w="6193" w:type="dxa"/>
            <w:gridSpan w:val="2"/>
            <w:tcMar>
              <w:top w:w="50" w:type="dxa"/>
              <w:left w:w="100" w:type="dxa"/>
            </w:tcMar>
            <w:vAlign w:val="center"/>
          </w:tcPr>
          <w:p w:rsidR="00F720FF" w:rsidRPr="00F720FF" w:rsidRDefault="00F720FF" w:rsidP="00F720F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 w:rsidRPr="00F72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0FF" w:rsidRDefault="00F720FF" w:rsidP="00F720F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F720FF" w:rsidRDefault="00F720FF" w:rsidP="00F720FF">
            <w:pPr>
              <w:spacing w:line="240" w:lineRule="auto"/>
              <w:contextualSpacing/>
            </w:pPr>
          </w:p>
        </w:tc>
      </w:tr>
    </w:tbl>
    <w:p w:rsidR="000F11A8" w:rsidRPr="00F720FF" w:rsidRDefault="000F11A8">
      <w:pPr>
        <w:rPr>
          <w:lang w:val="ru-RU"/>
        </w:rPr>
        <w:sectPr w:rsidR="000F11A8" w:rsidRPr="00F720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0F11A8" w:rsidRPr="00F720FF" w:rsidRDefault="000F11A8">
      <w:pPr>
        <w:rPr>
          <w:lang w:val="ru-RU"/>
        </w:rPr>
        <w:sectPr w:rsidR="000F11A8" w:rsidRPr="00F720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223A15" w:rsidRPr="00F720FF" w:rsidRDefault="00223A15">
      <w:pPr>
        <w:rPr>
          <w:lang w:val="ru-RU"/>
        </w:rPr>
      </w:pPr>
    </w:p>
    <w:sectPr w:rsidR="00223A15" w:rsidRPr="00F720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11A8"/>
    <w:rsid w:val="000F11A8"/>
    <w:rsid w:val="00223A15"/>
    <w:rsid w:val="00F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20292</Words>
  <Characters>115670</Characters>
  <Application>Microsoft Office Word</Application>
  <DocSecurity>0</DocSecurity>
  <Lines>963</Lines>
  <Paragraphs>271</Paragraphs>
  <ScaleCrop>false</ScaleCrop>
  <Company/>
  <LinksUpToDate>false</LinksUpToDate>
  <CharactersWithSpaces>135691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2023-10-23T07:14:00Z</dcterms:created>
  <dcterms:modified xsi:type="dcterms:W3CDTF">2023-10-23T07:21:00Z</dcterms:modified>
</cp:coreProperties>
</file>